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Universal Discomfort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Explanation: This piece is inspired by classic Shaker furniture. The thin, wooden lines create the illusion of a stool, yet without the solid center and back, it loses all functionality.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 xml:space="preserve">Lesson: I will convey to the user a lesson on access and ability, and how something as seemingly </w:t>
      </w:r>
      <w:r>
        <w:rPr>
          <w:outline w:val="0"/>
          <w:color w:val="202528"/>
          <w:sz w:val="32"/>
          <w:szCs w:val="32"/>
          <w:rtl w:val="1"/>
          <w:lang w:val="ar-SA" w:bidi="ar-SA"/>
          <w14:textFill>
            <w14:solidFill>
              <w14:srgbClr w14:val="212529"/>
            </w14:solidFill>
          </w14:textFill>
        </w:rPr>
        <w:t>“</w:t>
      </w:r>
      <w:r>
        <w:rPr>
          <w:outline w:val="0"/>
          <w:color w:val="202528"/>
          <w:sz w:val="32"/>
          <w:szCs w:val="32"/>
          <w:rtl w:val="0"/>
          <w:lang w:val="it-IT"/>
          <w14:textFill>
            <w14:solidFill>
              <w14:srgbClr w14:val="212529"/>
            </w14:solidFill>
          </w14:textFill>
        </w:rPr>
        <w:t>universal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 xml:space="preserve">” 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and practical as a stool in fact excludes a large group of users. I want the audience to experience discomfort while attempting to sit and realize the seat is not made for sitting.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